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0" w:line="224" w:lineRule="auto"/>
        <w:ind w:left="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附</w:t>
      </w:r>
      <w:r>
        <w:rPr>
          <w:rFonts w:ascii="仿宋" w:hAnsi="仿宋" w:eastAsia="仿宋" w:cs="仿宋"/>
          <w:spacing w:val="8"/>
          <w:sz w:val="31"/>
          <w:szCs w:val="3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>录：金融工具常见估值方法</w:t>
      </w:r>
    </w:p>
    <w:p>
      <w:pPr>
        <w:spacing w:before="224" w:line="357" w:lineRule="auto"/>
        <w:ind w:left="26" w:right="158" w:firstLine="64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下表</w:t>
      </w:r>
      <w:r>
        <w:rPr>
          <w:rFonts w:ascii="仿宋" w:hAnsi="仿宋" w:eastAsia="仿宋" w:cs="仿宋"/>
          <w:spacing w:val="11"/>
          <w:sz w:val="31"/>
          <w:szCs w:val="31"/>
        </w:rPr>
        <w:t>仅</w:t>
      </w:r>
      <w:r>
        <w:rPr>
          <w:rFonts w:ascii="仿宋" w:hAnsi="仿宋" w:eastAsia="仿宋" w:cs="仿宋"/>
          <w:spacing w:val="8"/>
          <w:sz w:val="31"/>
          <w:szCs w:val="31"/>
        </w:rPr>
        <w:t>列示各类金融工具品种常见的估值方法，并非唯一</w:t>
      </w:r>
      <w:r>
        <w:rPr>
          <w:rFonts w:ascii="仿宋" w:hAnsi="仿宋" w:eastAsia="仿宋" w:cs="仿宋"/>
          <w:spacing w:val="12"/>
          <w:sz w:val="31"/>
          <w:szCs w:val="31"/>
        </w:rPr>
        <w:t>可</w:t>
      </w:r>
      <w:r>
        <w:rPr>
          <w:rFonts w:ascii="仿宋" w:hAnsi="仿宋" w:eastAsia="仿宋" w:cs="仿宋"/>
          <w:spacing w:val="8"/>
          <w:sz w:val="31"/>
          <w:szCs w:val="31"/>
        </w:rPr>
        <w:t>使用的估值方法。商业银行应结合各类金融工具的特点，依据估</w:t>
      </w:r>
      <w:r>
        <w:rPr>
          <w:rFonts w:ascii="仿宋" w:hAnsi="仿宋" w:eastAsia="仿宋" w:cs="仿宋"/>
          <w:spacing w:val="4"/>
          <w:sz w:val="31"/>
          <w:szCs w:val="31"/>
        </w:rPr>
        <w:t>值基本原则等确定估值方法。</w:t>
      </w:r>
    </w:p>
    <w:p>
      <w:pPr>
        <w:spacing w:line="22" w:lineRule="exact"/>
        <w:jc w:val="both"/>
      </w:pPr>
    </w:p>
    <w:tbl>
      <w:tblPr>
        <w:tblStyle w:val="8"/>
        <w:tblW w:w="9560" w:type="dxa"/>
        <w:tblInd w:w="-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46"/>
        <w:gridCol w:w="4814"/>
        <w:gridCol w:w="2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946" w:type="dxa"/>
            <w:shd w:val="clear" w:color="auto" w:fill="D9D9D9"/>
            <w:vAlign w:val="top"/>
          </w:tcPr>
          <w:p>
            <w:pPr>
              <w:spacing w:before="68" w:line="188" w:lineRule="auto"/>
              <w:ind w:left="477" w:right="157" w:hanging="320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spacing w:val="7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融工具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微软雅黑" w:hAnsi="微软雅黑" w:eastAsia="微软雅黑" w:cs="微软雅黑"/>
                <w:spacing w:val="4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4814" w:type="dxa"/>
            <w:shd w:val="clear" w:color="auto" w:fill="D9D9D9"/>
            <w:vAlign w:val="top"/>
          </w:tcPr>
          <w:p>
            <w:pPr>
              <w:spacing w:before="286" w:line="195" w:lineRule="auto"/>
              <w:ind w:left="1279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10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融工具品种</w:t>
            </w:r>
          </w:p>
        </w:tc>
        <w:tc>
          <w:tcPr>
            <w:tcW w:w="2800" w:type="dxa"/>
            <w:shd w:val="clear" w:color="auto" w:fill="D9D9D9"/>
            <w:vAlign w:val="top"/>
          </w:tcPr>
          <w:p>
            <w:pPr>
              <w:spacing w:before="59" w:line="190" w:lineRule="auto"/>
              <w:ind w:left="863" w:right="140" w:hanging="692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常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见估值方法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946" w:type="dxa"/>
            <w:vMerge w:val="restart"/>
            <w:vAlign w:val="top"/>
          </w:tcPr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7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54" w:lineRule="auto"/>
              <w:ind w:left="394" w:right="237" w:hanging="13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1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.固定收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益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</w:t>
            </w:r>
          </w:p>
        </w:tc>
        <w:tc>
          <w:tcPr>
            <w:tcW w:w="7614" w:type="dxa"/>
            <w:gridSpan w:val="2"/>
            <w:vAlign w:val="top"/>
          </w:tcPr>
          <w:p>
            <w:pPr>
              <w:spacing w:before="47" w:line="216" w:lineRule="auto"/>
              <w:ind w:left="12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.1 一般方法/估值来源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4" w:type="dxa"/>
            <w:vAlign w:val="top"/>
          </w:tcPr>
          <w:p>
            <w:pPr>
              <w:spacing w:before="44" w:line="229" w:lineRule="auto"/>
              <w:ind w:left="112" w:right="103" w:firstLine="1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1.1.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银行间市场交易的固定收益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产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品</w:t>
            </w:r>
          </w:p>
        </w:tc>
        <w:tc>
          <w:tcPr>
            <w:tcW w:w="2800" w:type="dxa"/>
            <w:vAlign w:val="top"/>
          </w:tcPr>
          <w:p>
            <w:pPr>
              <w:spacing w:before="44" w:line="229" w:lineRule="auto"/>
              <w:ind w:left="1216" w:right="223" w:hanging="96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主要依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据第三方估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4" w:type="dxa"/>
            <w:vAlign w:val="top"/>
          </w:tcPr>
          <w:p>
            <w:pPr>
              <w:spacing w:line="31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2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1.2 交易所交易的固定收益产品</w:t>
            </w:r>
          </w:p>
        </w:tc>
        <w:tc>
          <w:tcPr>
            <w:tcW w:w="2800" w:type="dxa"/>
            <w:vAlign w:val="top"/>
          </w:tcPr>
          <w:p>
            <w:pPr>
              <w:spacing w:before="48" w:line="216" w:lineRule="auto"/>
              <w:ind w:left="24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主要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依据第三方估</w:t>
            </w:r>
          </w:p>
          <w:p>
            <w:pPr>
              <w:spacing w:before="34" w:line="219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值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盘价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614" w:type="dxa"/>
            <w:gridSpan w:val="2"/>
            <w:vAlign w:val="top"/>
          </w:tcPr>
          <w:p>
            <w:pPr>
              <w:spacing w:before="50" w:line="216" w:lineRule="auto"/>
              <w:ind w:left="12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2 其他情形下的估值方法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4" w:type="dxa"/>
            <w:vAlign w:val="top"/>
          </w:tcPr>
          <w:p>
            <w:pPr>
              <w:spacing w:before="46" w:line="216" w:lineRule="auto"/>
              <w:ind w:left="12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1.2.1 不含权的固定收益产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品</w:t>
            </w:r>
          </w:p>
        </w:tc>
        <w:tc>
          <w:tcPr>
            <w:tcW w:w="2800" w:type="dxa"/>
            <w:vAlign w:val="top"/>
          </w:tcPr>
          <w:p>
            <w:pPr>
              <w:spacing w:before="46" w:line="216" w:lineRule="auto"/>
              <w:ind w:left="52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现金流折现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9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4" w:type="dxa"/>
            <w:vAlign w:val="top"/>
          </w:tcPr>
          <w:p>
            <w:pPr>
              <w:spacing w:line="26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6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55" w:lineRule="auto"/>
              <w:ind w:left="135" w:right="103" w:hanging="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1.2.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 xml:space="preserve"> 含转股权或附有特殊选择权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的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固定收益产品</w:t>
            </w:r>
          </w:p>
        </w:tc>
        <w:tc>
          <w:tcPr>
            <w:tcW w:w="2800" w:type="dxa"/>
            <w:vAlign w:val="top"/>
          </w:tcPr>
          <w:p>
            <w:pPr>
              <w:spacing w:before="48" w:line="219" w:lineRule="auto"/>
              <w:ind w:left="66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有限差分法</w:t>
            </w:r>
          </w:p>
          <w:p>
            <w:pPr>
              <w:spacing w:before="33" w:line="239" w:lineRule="auto"/>
              <w:ind w:left="593" w:right="152" w:hanging="43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Finite-Differen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ce Met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hod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)</w:t>
            </w:r>
          </w:p>
          <w:p>
            <w:pPr>
              <w:spacing w:line="218" w:lineRule="auto"/>
              <w:ind w:left="58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树方法 (Tree</w:t>
            </w:r>
          </w:p>
          <w:p>
            <w:pPr>
              <w:spacing w:before="33" w:line="220" w:lineRule="auto"/>
              <w:ind w:left="85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Method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</w:p>
          <w:p>
            <w:pPr>
              <w:spacing w:before="28" w:line="219" w:lineRule="auto"/>
              <w:ind w:left="39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蒙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特卡洛模拟法</w:t>
            </w:r>
          </w:p>
          <w:p>
            <w:pPr>
              <w:spacing w:before="31" w:line="220" w:lineRule="auto"/>
              <w:ind w:left="57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Monte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-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Carlo</w:t>
            </w:r>
          </w:p>
          <w:p>
            <w:pPr>
              <w:spacing w:before="31" w:line="220" w:lineRule="auto"/>
              <w:ind w:left="85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Method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</w:p>
          <w:p>
            <w:pPr>
              <w:spacing w:before="29" w:line="216" w:lineRule="auto"/>
              <w:ind w:left="81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赫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尔怀特</w:t>
            </w:r>
          </w:p>
          <w:p>
            <w:pPr>
              <w:spacing w:before="34" w:line="220" w:lineRule="auto"/>
              <w:ind w:left="50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Hull-White</w:t>
            </w:r>
          </w:p>
          <w:p>
            <w:pPr>
              <w:spacing w:before="31" w:line="215" w:lineRule="auto"/>
              <w:ind w:left="43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Model )模型等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4" w:type="dxa"/>
            <w:vAlign w:val="top"/>
          </w:tcPr>
          <w:p>
            <w:pPr>
              <w:spacing w:before="51" w:line="214" w:lineRule="auto"/>
              <w:ind w:left="12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1.2.3 资产支持证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券</w:t>
            </w:r>
          </w:p>
        </w:tc>
        <w:tc>
          <w:tcPr>
            <w:tcW w:w="2800" w:type="dxa"/>
            <w:vAlign w:val="top"/>
          </w:tcPr>
          <w:p>
            <w:pPr>
              <w:spacing w:before="51" w:line="214" w:lineRule="auto"/>
              <w:ind w:left="52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现金流折现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4" w:type="dxa"/>
            <w:vAlign w:val="top"/>
          </w:tcPr>
          <w:p>
            <w:pPr>
              <w:spacing w:before="54" w:line="216" w:lineRule="auto"/>
              <w:ind w:left="12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1.2.4 非标准化债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权</w:t>
            </w:r>
          </w:p>
        </w:tc>
        <w:tc>
          <w:tcPr>
            <w:tcW w:w="2800" w:type="dxa"/>
            <w:vAlign w:val="top"/>
          </w:tcPr>
          <w:p>
            <w:pPr>
              <w:spacing w:before="54" w:line="216" w:lineRule="auto"/>
              <w:ind w:left="52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现金流折现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4" w:type="dxa"/>
            <w:vAlign w:val="top"/>
          </w:tcPr>
          <w:p>
            <w:pPr>
              <w:spacing w:before="48" w:line="218" w:lineRule="auto"/>
              <w:ind w:left="12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1.2.5 票据、福费廷产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品</w:t>
            </w:r>
          </w:p>
        </w:tc>
        <w:tc>
          <w:tcPr>
            <w:tcW w:w="2800" w:type="dxa"/>
            <w:vAlign w:val="top"/>
          </w:tcPr>
          <w:p>
            <w:pPr>
              <w:spacing w:before="49" w:line="217" w:lineRule="auto"/>
              <w:ind w:left="52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现金流折现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4" w:type="dxa"/>
            <w:vAlign w:val="top"/>
          </w:tcPr>
          <w:p>
            <w:pPr>
              <w:spacing w:before="48" w:line="216" w:lineRule="auto"/>
              <w:ind w:left="12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1.2.6 境外发行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的固定收益产品</w:t>
            </w:r>
          </w:p>
        </w:tc>
        <w:tc>
          <w:tcPr>
            <w:tcW w:w="2800" w:type="dxa"/>
            <w:vAlign w:val="top"/>
          </w:tcPr>
          <w:p>
            <w:pPr>
              <w:spacing w:before="48" w:line="216" w:lineRule="auto"/>
              <w:ind w:left="66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三方估值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3" w:hRule="atLeast"/>
        </w:trPr>
        <w:tc>
          <w:tcPr>
            <w:tcW w:w="1946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4" w:type="dxa"/>
            <w:vAlign w:val="top"/>
          </w:tcPr>
          <w:p>
            <w:pPr>
              <w:spacing w:before="232" w:line="217" w:lineRule="auto"/>
              <w:ind w:left="12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1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.3 违约或逾期债权</w:t>
            </w:r>
          </w:p>
        </w:tc>
        <w:tc>
          <w:tcPr>
            <w:tcW w:w="2800" w:type="dxa"/>
            <w:vAlign w:val="top"/>
          </w:tcPr>
          <w:p>
            <w:pPr>
              <w:spacing w:before="51" w:line="229" w:lineRule="auto"/>
              <w:ind w:left="524" w:right="49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可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靠市场价格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资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产清偿率法</w:t>
            </w:r>
          </w:p>
        </w:tc>
      </w:tr>
    </w:tbl>
    <w:p>
      <w:pPr>
        <w:jc w:val="both"/>
        <w:rPr>
          <w:rFonts w:ascii="Arial"/>
          <w:sz w:val="21"/>
        </w:rPr>
      </w:pPr>
    </w:p>
    <w:p>
      <w:pPr>
        <w:jc w:val="both"/>
        <w:sectPr>
          <w:footerReference r:id="rId5" w:type="default"/>
          <w:pgSz w:w="12240" w:h="15840"/>
          <w:pgMar w:top="1346" w:right="1644" w:bottom="1139" w:left="1800" w:header="0" w:footer="975" w:gutter="0"/>
          <w:cols w:space="720" w:num="1"/>
        </w:sectPr>
      </w:pPr>
    </w:p>
    <w:p>
      <w:pPr>
        <w:spacing w:line="93" w:lineRule="exact"/>
        <w:jc w:val="both"/>
      </w:pPr>
    </w:p>
    <w:tbl>
      <w:tblPr>
        <w:tblStyle w:val="8"/>
        <w:tblW w:w="9546" w:type="dxa"/>
        <w:tblInd w:w="-47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33"/>
        <w:gridCol w:w="4827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933" w:type="dxa"/>
            <w:shd w:val="clear" w:color="auto" w:fill="D9D9D9"/>
            <w:vAlign w:val="top"/>
          </w:tcPr>
          <w:p>
            <w:pPr>
              <w:spacing w:before="68" w:line="188" w:lineRule="auto"/>
              <w:ind w:left="477" w:right="157" w:hanging="320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spacing w:val="7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融工具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微软雅黑" w:hAnsi="微软雅黑" w:eastAsia="微软雅黑" w:cs="微软雅黑"/>
                <w:spacing w:val="4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4827" w:type="dxa"/>
            <w:shd w:val="clear" w:color="auto" w:fill="D9D9D9"/>
            <w:vAlign w:val="top"/>
          </w:tcPr>
          <w:p>
            <w:pPr>
              <w:spacing w:before="287" w:line="195" w:lineRule="auto"/>
              <w:ind w:left="1279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10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融工具品种</w:t>
            </w:r>
          </w:p>
        </w:tc>
        <w:tc>
          <w:tcPr>
            <w:tcW w:w="2786" w:type="dxa"/>
            <w:shd w:val="clear" w:color="auto" w:fill="D9D9D9"/>
            <w:vAlign w:val="top"/>
          </w:tcPr>
          <w:p>
            <w:pPr>
              <w:spacing w:before="59" w:line="190" w:lineRule="auto"/>
              <w:ind w:left="863" w:right="140" w:hanging="692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常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见估值方法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</w:trPr>
        <w:tc>
          <w:tcPr>
            <w:tcW w:w="1933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786" w:type="dxa"/>
            <w:vAlign w:val="top"/>
          </w:tcPr>
          <w:p>
            <w:pPr>
              <w:spacing w:before="48" w:line="229" w:lineRule="auto"/>
              <w:ind w:left="244" w:right="218" w:firstLine="1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同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类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债权回收率或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市场平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均回收率等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933" w:type="dxa"/>
            <w:vMerge w:val="restart"/>
            <w:vAlign w:val="top"/>
          </w:tcPr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5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24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2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.衍生品</w:t>
            </w:r>
          </w:p>
        </w:tc>
        <w:tc>
          <w:tcPr>
            <w:tcW w:w="4827" w:type="dxa"/>
            <w:vMerge w:val="restart"/>
            <w:vAlign w:val="top"/>
          </w:tcPr>
          <w:p>
            <w:pPr>
              <w:spacing w:before="238" w:line="216" w:lineRule="auto"/>
              <w:ind w:left="12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1 一般方法/估值来源</w:t>
            </w:r>
          </w:p>
        </w:tc>
        <w:tc>
          <w:tcPr>
            <w:tcW w:w="2786" w:type="dxa"/>
            <w:vAlign w:val="top"/>
          </w:tcPr>
          <w:p>
            <w:pPr>
              <w:spacing w:before="45" w:line="218" w:lineRule="auto"/>
              <w:ind w:left="52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结算价或市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93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2786" w:type="dxa"/>
            <w:vAlign w:val="top"/>
          </w:tcPr>
          <w:p>
            <w:pPr>
              <w:spacing w:before="48" w:line="216" w:lineRule="auto"/>
              <w:ind w:left="67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三方估值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93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613" w:type="dxa"/>
            <w:gridSpan w:val="2"/>
            <w:vAlign w:val="top"/>
          </w:tcPr>
          <w:p>
            <w:pPr>
              <w:spacing w:before="51" w:line="216" w:lineRule="auto"/>
              <w:ind w:left="12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2.2 常用衍生品估值模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93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44" w:line="219" w:lineRule="auto"/>
              <w:ind w:left="12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.2.1 远期</w:t>
            </w:r>
          </w:p>
        </w:tc>
        <w:tc>
          <w:tcPr>
            <w:tcW w:w="2786" w:type="dxa"/>
            <w:vAlign w:val="top"/>
          </w:tcPr>
          <w:p>
            <w:pPr>
              <w:spacing w:before="44" w:line="217" w:lineRule="auto"/>
              <w:ind w:left="52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现金流折现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93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46" w:line="217" w:lineRule="auto"/>
              <w:ind w:left="12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2.2.2 互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换</w:t>
            </w:r>
          </w:p>
        </w:tc>
        <w:tc>
          <w:tcPr>
            <w:tcW w:w="2786" w:type="dxa"/>
            <w:vAlign w:val="top"/>
          </w:tcPr>
          <w:p>
            <w:pPr>
              <w:spacing w:before="46" w:line="217" w:lineRule="auto"/>
              <w:ind w:left="52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现金流折现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193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line="2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12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.3 期权(有解析解)</w:t>
            </w:r>
          </w:p>
        </w:tc>
        <w:tc>
          <w:tcPr>
            <w:tcW w:w="2786" w:type="dxa"/>
            <w:vAlign w:val="top"/>
          </w:tcPr>
          <w:p>
            <w:pPr>
              <w:spacing w:before="50" w:line="216" w:lineRule="auto"/>
              <w:ind w:left="36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布莱克斯科</w:t>
            </w:r>
            <w:r>
              <w:rPr>
                <w:rFonts w:ascii="仿宋" w:hAnsi="仿宋" w:eastAsia="仿宋" w:cs="仿宋"/>
                <w:sz w:val="28"/>
                <w:szCs w:val="28"/>
              </w:rPr>
              <w:t>尔斯</w:t>
            </w:r>
          </w:p>
          <w:p>
            <w:pPr>
              <w:spacing w:before="34" w:line="220" w:lineRule="auto"/>
              <w:ind w:left="15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(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Black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-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Scholes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)</w:t>
            </w:r>
          </w:p>
          <w:p>
            <w:pPr>
              <w:spacing w:before="29" w:line="219" w:lineRule="auto"/>
              <w:ind w:left="106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模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型</w:t>
            </w:r>
          </w:p>
          <w:p>
            <w:pPr>
              <w:spacing w:before="30" w:line="216" w:lineRule="auto"/>
              <w:ind w:left="15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3"/>
                <w:sz w:val="28"/>
                <w:szCs w:val="28"/>
              </w:rPr>
              <w:t>布莱克(</w:t>
            </w:r>
            <w:r>
              <w:rPr>
                <w:rFonts w:ascii="仿宋" w:hAnsi="仿宋" w:eastAsia="仿宋" w:cs="仿宋"/>
                <w:sz w:val="28"/>
                <w:szCs w:val="28"/>
              </w:rPr>
              <w:t>Black</w:t>
            </w:r>
            <w:r>
              <w:rPr>
                <w:rFonts w:ascii="仿宋" w:hAnsi="仿宋" w:eastAsia="仿宋" w:cs="仿宋"/>
                <w:spacing w:val="43"/>
                <w:sz w:val="28"/>
                <w:szCs w:val="28"/>
              </w:rPr>
              <w:t>)</w:t>
            </w:r>
            <w:r>
              <w:rPr>
                <w:rFonts w:ascii="仿宋" w:hAnsi="仿宋" w:eastAsia="仿宋" w:cs="仿宋"/>
                <w:spacing w:val="42"/>
                <w:sz w:val="28"/>
                <w:szCs w:val="28"/>
              </w:rPr>
              <w:t>模</w:t>
            </w:r>
          </w:p>
          <w:p>
            <w:pPr>
              <w:spacing w:before="36" w:line="226" w:lineRule="auto"/>
              <w:ind w:left="122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型</w:t>
            </w:r>
          </w:p>
          <w:p>
            <w:pPr>
              <w:spacing w:before="19" w:line="219" w:lineRule="auto"/>
              <w:ind w:left="27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巴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伦艾迪诗和惠利</w:t>
            </w:r>
          </w:p>
          <w:p>
            <w:pPr>
              <w:spacing w:before="30" w:line="226" w:lineRule="auto"/>
              <w:ind w:left="362" w:right="219" w:hanging="14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( Barone-Adesi &amp; Whaley</w:t>
            </w:r>
            <w:r>
              <w:rPr>
                <w:rFonts w:ascii="仿宋" w:hAnsi="仿宋" w:eastAsia="仿宋" w:cs="仿宋"/>
                <w:spacing w:val="28"/>
                <w:sz w:val="28"/>
                <w:szCs w:val="28"/>
              </w:rPr>
              <w:t>)模型等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20" w:hRule="atLeast"/>
        </w:trPr>
        <w:tc>
          <w:tcPr>
            <w:tcW w:w="193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line="2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4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5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18" w:lineRule="auto"/>
              <w:ind w:left="12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6"/>
                <w:sz w:val="28"/>
                <w:szCs w:val="28"/>
              </w:rPr>
              <w:t>2.</w:t>
            </w:r>
            <w:r>
              <w:rPr>
                <w:rFonts w:ascii="仿宋" w:hAnsi="仿宋" w:eastAsia="仿宋" w:cs="仿宋"/>
                <w:spacing w:val="5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.4 期权(无解析解)</w:t>
            </w:r>
          </w:p>
        </w:tc>
        <w:tc>
          <w:tcPr>
            <w:tcW w:w="2786" w:type="dxa"/>
            <w:vAlign w:val="top"/>
          </w:tcPr>
          <w:p>
            <w:pPr>
              <w:spacing w:before="47"/>
              <w:ind w:left="151" w:right="147" w:firstLine="50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有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限差分法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  </w:t>
            </w: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Finite-Differen</w:t>
            </w:r>
          </w:p>
          <w:p>
            <w:pPr>
              <w:spacing w:line="220" w:lineRule="auto"/>
              <w:ind w:left="51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ce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Method)、</w:t>
            </w:r>
          </w:p>
          <w:p>
            <w:pPr>
              <w:spacing w:before="28" w:line="239" w:lineRule="auto"/>
              <w:ind w:left="57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树方法 (Tree</w:t>
            </w:r>
          </w:p>
          <w:p>
            <w:pPr>
              <w:spacing w:line="220" w:lineRule="auto"/>
              <w:ind w:left="71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Method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)、</w:t>
            </w:r>
          </w:p>
          <w:p>
            <w:pPr>
              <w:spacing w:before="30" w:line="219" w:lineRule="auto"/>
              <w:ind w:left="38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蒙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特卡洛模拟法</w:t>
            </w:r>
          </w:p>
          <w:p>
            <w:pPr>
              <w:spacing w:before="30" w:line="220" w:lineRule="auto"/>
              <w:ind w:left="57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Monte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-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Carlo</w:t>
            </w:r>
          </w:p>
          <w:p>
            <w:pPr>
              <w:spacing w:before="28" w:line="218" w:lineRule="auto"/>
              <w:ind w:left="71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Method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  <w:r>
              <w:rPr>
                <w:rFonts w:ascii="仿宋" w:hAnsi="仿宋" w:eastAsia="仿宋" w:cs="仿宋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2" w:hRule="atLeast"/>
        </w:trPr>
        <w:tc>
          <w:tcPr>
            <w:tcW w:w="193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line="28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8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80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8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8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16" w:lineRule="auto"/>
              <w:ind w:left="12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2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.3 结构性产品</w:t>
            </w:r>
          </w:p>
        </w:tc>
        <w:tc>
          <w:tcPr>
            <w:tcW w:w="2786" w:type="dxa"/>
            <w:vAlign w:val="top"/>
          </w:tcPr>
          <w:p>
            <w:pPr>
              <w:spacing w:before="48"/>
              <w:ind w:left="658" w:right="496" w:hanging="14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期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权组合拆分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有限差分法</w:t>
            </w:r>
          </w:p>
          <w:p>
            <w:pPr>
              <w:spacing w:line="239" w:lineRule="auto"/>
              <w:ind w:left="518" w:right="147" w:hanging="36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1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Finite-Differen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ce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Method)、</w:t>
            </w:r>
          </w:p>
          <w:p>
            <w:pPr>
              <w:ind w:left="57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树方法 (Tree</w:t>
            </w:r>
          </w:p>
          <w:p>
            <w:pPr>
              <w:spacing w:line="220" w:lineRule="auto"/>
              <w:ind w:left="71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Method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)、</w:t>
            </w:r>
          </w:p>
          <w:p>
            <w:pPr>
              <w:spacing w:before="28" w:line="219" w:lineRule="auto"/>
              <w:ind w:left="38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蒙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特卡洛模拟法</w:t>
            </w:r>
          </w:p>
          <w:p>
            <w:pPr>
              <w:spacing w:before="30" w:line="220" w:lineRule="auto"/>
              <w:ind w:left="57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(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Monte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-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Carlo</w:t>
            </w:r>
          </w:p>
          <w:p>
            <w:pPr>
              <w:spacing w:before="29" w:line="220" w:lineRule="auto"/>
              <w:ind w:left="71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Method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)</w:t>
            </w:r>
            <w:r>
              <w:rPr>
                <w:rFonts w:ascii="仿宋" w:hAnsi="仿宋" w:eastAsia="仿宋" w:cs="仿宋"/>
                <w:sz w:val="28"/>
                <w:szCs w:val="28"/>
              </w:rPr>
              <w:t>等</w:t>
            </w:r>
          </w:p>
        </w:tc>
      </w:tr>
    </w:tbl>
    <w:p>
      <w:pPr>
        <w:jc w:val="both"/>
        <w:rPr>
          <w:rFonts w:ascii="Arial"/>
          <w:sz w:val="21"/>
        </w:rPr>
      </w:pPr>
    </w:p>
    <w:p>
      <w:pPr>
        <w:jc w:val="both"/>
        <w:sectPr>
          <w:footerReference r:id="rId6" w:type="default"/>
          <w:pgSz w:w="12240" w:h="15840"/>
          <w:pgMar w:top="1346" w:right="1644" w:bottom="1139" w:left="1800" w:header="0" w:footer="975" w:gutter="0"/>
          <w:cols w:space="720" w:num="1"/>
        </w:sectPr>
      </w:pPr>
    </w:p>
    <w:p>
      <w:pPr>
        <w:spacing w:line="93" w:lineRule="exact"/>
        <w:jc w:val="both"/>
      </w:pPr>
    </w:p>
    <w:tbl>
      <w:tblPr>
        <w:tblStyle w:val="8"/>
        <w:tblW w:w="9493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4827"/>
        <w:gridCol w:w="27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893" w:type="dxa"/>
            <w:shd w:val="clear" w:color="auto" w:fill="D9D9D9"/>
            <w:vAlign w:val="top"/>
          </w:tcPr>
          <w:p>
            <w:pPr>
              <w:spacing w:before="68" w:line="188" w:lineRule="auto"/>
              <w:ind w:left="477" w:right="157" w:hanging="320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spacing w:val="7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融工具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微软雅黑" w:hAnsi="微软雅黑" w:eastAsia="微软雅黑" w:cs="微软雅黑"/>
                <w:spacing w:val="4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4827" w:type="dxa"/>
            <w:shd w:val="clear" w:color="auto" w:fill="D9D9D9"/>
            <w:vAlign w:val="top"/>
          </w:tcPr>
          <w:p>
            <w:pPr>
              <w:spacing w:before="287" w:line="195" w:lineRule="auto"/>
              <w:ind w:left="1279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10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融工具品种</w:t>
            </w:r>
          </w:p>
        </w:tc>
        <w:tc>
          <w:tcPr>
            <w:tcW w:w="2773" w:type="dxa"/>
            <w:shd w:val="clear" w:color="auto" w:fill="D9D9D9"/>
            <w:vAlign w:val="top"/>
          </w:tcPr>
          <w:p>
            <w:pPr>
              <w:spacing w:before="59" w:line="190" w:lineRule="auto"/>
              <w:ind w:left="863" w:right="140" w:hanging="692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常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见估值方法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</w:t>
            </w:r>
            <w:r>
              <w:rPr>
                <w:rFonts w:ascii="微软雅黑" w:hAnsi="微软雅黑" w:eastAsia="微软雅黑" w:cs="微软雅黑"/>
                <w:spacing w:val="10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893" w:type="dxa"/>
            <w:vMerge w:val="restart"/>
            <w:vAlign w:val="top"/>
          </w:tcPr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1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54" w:lineRule="auto"/>
              <w:ind w:left="521" w:right="232" w:hanging="26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3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.权益类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品</w:t>
            </w:r>
          </w:p>
        </w:tc>
        <w:tc>
          <w:tcPr>
            <w:tcW w:w="4827" w:type="dxa"/>
            <w:vAlign w:val="top"/>
          </w:tcPr>
          <w:p>
            <w:pPr>
              <w:spacing w:before="46" w:line="219" w:lineRule="auto"/>
              <w:ind w:left="1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3.1 上市流通股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票</w:t>
            </w:r>
          </w:p>
        </w:tc>
        <w:tc>
          <w:tcPr>
            <w:tcW w:w="2773" w:type="dxa"/>
            <w:vAlign w:val="top"/>
          </w:tcPr>
          <w:p>
            <w:pPr>
              <w:spacing w:before="46" w:line="219" w:lineRule="auto"/>
              <w:ind w:left="95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盘价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600" w:type="dxa"/>
            <w:gridSpan w:val="2"/>
            <w:vAlign w:val="top"/>
          </w:tcPr>
          <w:p>
            <w:pPr>
              <w:spacing w:before="44" w:line="219" w:lineRule="auto"/>
              <w:ind w:left="1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3.2 未上市股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47" w:line="217" w:lineRule="auto"/>
              <w:ind w:left="1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.2.1 首次发行未上市的股票</w:t>
            </w:r>
          </w:p>
        </w:tc>
        <w:tc>
          <w:tcPr>
            <w:tcW w:w="2773" w:type="dxa"/>
            <w:vAlign w:val="top"/>
          </w:tcPr>
          <w:p>
            <w:pPr>
              <w:spacing w:before="47" w:line="217" w:lineRule="auto"/>
              <w:ind w:left="93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发行价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44" w:line="229" w:lineRule="auto"/>
              <w:ind w:left="107" w:right="98" w:firstLine="2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3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.2.2 送股、转增股、配股和公开增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发新股等发行未上市</w:t>
            </w:r>
            <w:r>
              <w:rPr>
                <w:rFonts w:ascii="仿宋" w:hAnsi="仿宋" w:eastAsia="仿宋" w:cs="仿宋"/>
                <w:sz w:val="28"/>
                <w:szCs w:val="28"/>
              </w:rPr>
              <w:t>的股票</w:t>
            </w:r>
          </w:p>
        </w:tc>
        <w:tc>
          <w:tcPr>
            <w:tcW w:w="2773" w:type="dxa"/>
            <w:vAlign w:val="top"/>
          </w:tcPr>
          <w:p>
            <w:pPr>
              <w:spacing w:before="226" w:line="219" w:lineRule="auto"/>
              <w:ind w:left="95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盘价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227" w:line="217" w:lineRule="auto"/>
              <w:ind w:left="1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6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12"/>
                <w:sz w:val="28"/>
                <w:szCs w:val="28"/>
              </w:rPr>
              <w:t>.3 限售股</w:t>
            </w:r>
          </w:p>
        </w:tc>
        <w:tc>
          <w:tcPr>
            <w:tcW w:w="2773" w:type="dxa"/>
            <w:vAlign w:val="top"/>
          </w:tcPr>
          <w:p>
            <w:pPr>
              <w:spacing w:before="46" w:line="229" w:lineRule="auto"/>
              <w:ind w:left="1072" w:right="100" w:hanging="937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盘价，流动性折扣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调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5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line="336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4"/>
                <w:sz w:val="28"/>
                <w:szCs w:val="28"/>
              </w:rPr>
              <w:t>3.4 优先股</w:t>
            </w:r>
          </w:p>
        </w:tc>
        <w:tc>
          <w:tcPr>
            <w:tcW w:w="2773" w:type="dxa"/>
            <w:vAlign w:val="top"/>
          </w:tcPr>
          <w:p>
            <w:pPr>
              <w:spacing w:before="44" w:line="219" w:lineRule="auto"/>
              <w:ind w:left="95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盘价</w:t>
            </w:r>
          </w:p>
          <w:p>
            <w:pPr>
              <w:spacing w:before="53" w:line="216" w:lineRule="auto"/>
              <w:ind w:left="66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三方估值</w:t>
            </w:r>
          </w:p>
          <w:p>
            <w:pPr>
              <w:spacing w:before="53" w:line="217" w:lineRule="auto"/>
              <w:ind w:left="52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现金流折现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2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301" w:line="219" w:lineRule="auto"/>
              <w:ind w:left="1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.5 非证券交易所交易股票</w:t>
            </w:r>
          </w:p>
        </w:tc>
        <w:tc>
          <w:tcPr>
            <w:tcW w:w="2773" w:type="dxa"/>
            <w:vAlign w:val="top"/>
          </w:tcPr>
          <w:p>
            <w:pPr>
              <w:spacing w:before="45" w:line="449" w:lineRule="exact"/>
              <w:ind w:left="95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12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6"/>
                <w:position w:val="12"/>
                <w:sz w:val="28"/>
                <w:szCs w:val="28"/>
              </w:rPr>
              <w:t>盘价</w:t>
            </w:r>
          </w:p>
          <w:p>
            <w:pPr>
              <w:spacing w:line="216" w:lineRule="auto"/>
              <w:ind w:left="51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其他估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值技术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line="338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3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3.6 长期停牌股</w:t>
            </w:r>
            <w:r>
              <w:rPr>
                <w:rFonts w:ascii="仿宋" w:hAnsi="仿宋" w:eastAsia="仿宋" w:cs="仿宋"/>
                <w:spacing w:val="-9"/>
                <w:sz w:val="28"/>
                <w:szCs w:val="28"/>
              </w:rPr>
              <w:t>票</w:t>
            </w:r>
          </w:p>
        </w:tc>
        <w:tc>
          <w:tcPr>
            <w:tcW w:w="2773" w:type="dxa"/>
            <w:vAlign w:val="top"/>
          </w:tcPr>
          <w:p>
            <w:pPr>
              <w:spacing w:before="45" w:line="241" w:lineRule="auto"/>
              <w:ind w:left="65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指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数收益法</w:t>
            </w:r>
          </w:p>
          <w:p>
            <w:pPr>
              <w:spacing w:line="219" w:lineRule="auto"/>
              <w:ind w:left="66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可比公司法</w:t>
            </w:r>
          </w:p>
          <w:p>
            <w:pPr>
              <w:spacing w:before="31" w:line="232" w:lineRule="auto"/>
              <w:ind w:left="521" w:right="357" w:hanging="13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市场价格模型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现金流折现法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市场乘数法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3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line="30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02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30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left="1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.7 非上市股权</w:t>
            </w:r>
          </w:p>
        </w:tc>
        <w:tc>
          <w:tcPr>
            <w:tcW w:w="2773" w:type="dxa"/>
            <w:vAlign w:val="top"/>
          </w:tcPr>
          <w:p>
            <w:pPr>
              <w:spacing w:before="46" w:line="218" w:lineRule="auto"/>
              <w:ind w:left="66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市场乘数法</w:t>
            </w:r>
          </w:p>
          <w:p>
            <w:pPr>
              <w:spacing w:before="52" w:line="219" w:lineRule="auto"/>
              <w:ind w:left="37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最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近融资价格法</w:t>
            </w:r>
          </w:p>
          <w:p>
            <w:pPr>
              <w:spacing w:before="50" w:line="219" w:lineRule="auto"/>
              <w:ind w:left="79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净资产法</w:t>
            </w:r>
          </w:p>
          <w:p>
            <w:pPr>
              <w:spacing w:before="50" w:line="219" w:lineRule="auto"/>
              <w:ind w:left="66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重置成本法</w:t>
            </w:r>
          </w:p>
          <w:p>
            <w:pPr>
              <w:spacing w:before="53" w:line="217" w:lineRule="auto"/>
              <w:ind w:left="28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自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由现金流折现法</w:t>
            </w:r>
          </w:p>
          <w:p>
            <w:pPr>
              <w:spacing w:before="53" w:line="217" w:lineRule="auto"/>
              <w:ind w:left="51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股利折现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法等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230" w:line="215" w:lineRule="auto"/>
              <w:ind w:left="128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3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.8 债转股</w:t>
            </w:r>
          </w:p>
        </w:tc>
        <w:tc>
          <w:tcPr>
            <w:tcW w:w="2773" w:type="dxa"/>
            <w:vAlign w:val="top"/>
          </w:tcPr>
          <w:p>
            <w:pPr>
              <w:spacing w:before="47" w:line="228" w:lineRule="auto"/>
              <w:ind w:left="512" w:right="496" w:firstLine="153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三方估值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其他估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值技术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893" w:type="dxa"/>
            <w:vMerge w:val="restart"/>
            <w:vAlign w:val="top"/>
          </w:tcPr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line="243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55" w:lineRule="auto"/>
              <w:ind w:left="383" w:right="232" w:hanging="13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4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.资产管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理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产品</w:t>
            </w:r>
          </w:p>
        </w:tc>
        <w:tc>
          <w:tcPr>
            <w:tcW w:w="7600" w:type="dxa"/>
            <w:gridSpan w:val="2"/>
            <w:vAlign w:val="top"/>
          </w:tcPr>
          <w:p>
            <w:pPr>
              <w:spacing w:before="48" w:line="216" w:lineRule="auto"/>
              <w:ind w:left="11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.1 证券投资基金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1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60" w:line="231" w:lineRule="auto"/>
              <w:ind w:left="102" w:right="95" w:firstLine="1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2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15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1.1 境内上市定期开放式、封闭式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基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金</w:t>
            </w:r>
          </w:p>
        </w:tc>
        <w:tc>
          <w:tcPr>
            <w:tcW w:w="2773" w:type="dxa"/>
            <w:vAlign w:val="top"/>
          </w:tcPr>
          <w:p>
            <w:pPr>
              <w:spacing w:before="51" w:line="382" w:lineRule="exact"/>
              <w:ind w:left="95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position w:val="6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6"/>
                <w:position w:val="6"/>
                <w:sz w:val="28"/>
                <w:szCs w:val="28"/>
              </w:rPr>
              <w:t>盘价</w:t>
            </w:r>
          </w:p>
          <w:p>
            <w:pPr>
              <w:spacing w:before="1" w:line="215" w:lineRule="auto"/>
              <w:ind w:left="108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净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51" w:line="216" w:lineRule="auto"/>
              <w:ind w:left="11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4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.1.2 境内上市开放式基金(</w:t>
            </w:r>
            <w:r>
              <w:rPr>
                <w:rFonts w:ascii="仿宋" w:hAnsi="仿宋" w:eastAsia="仿宋" w:cs="仿宋"/>
                <w:sz w:val="28"/>
                <w:szCs w:val="28"/>
              </w:rPr>
              <w:t>LOF</w:t>
            </w: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)</w:t>
            </w:r>
          </w:p>
        </w:tc>
        <w:tc>
          <w:tcPr>
            <w:tcW w:w="2773" w:type="dxa"/>
            <w:vAlign w:val="top"/>
          </w:tcPr>
          <w:p>
            <w:pPr>
              <w:spacing w:before="51" w:line="216" w:lineRule="auto"/>
              <w:ind w:left="108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净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49" w:line="225" w:lineRule="auto"/>
              <w:ind w:left="116"/>
              <w:jc w:val="both"/>
              <w:rPr>
                <w:rFonts w:ascii="仿宋" w:hAnsi="仿宋" w:eastAsia="仿宋" w:cs="仿宋"/>
                <w:sz w:val="27"/>
                <w:szCs w:val="27"/>
              </w:rPr>
            </w:pPr>
            <w:r>
              <w:rPr>
                <w:rFonts w:ascii="仿宋" w:hAnsi="仿宋" w:eastAsia="仿宋" w:cs="仿宋"/>
                <w:spacing w:val="2"/>
                <w:sz w:val="27"/>
                <w:szCs w:val="27"/>
              </w:rPr>
              <w:t>4.1.3 交易型开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放式指数基金(</w:t>
            </w:r>
            <w:r>
              <w:rPr>
                <w:rFonts w:ascii="仿宋" w:hAnsi="仿宋" w:eastAsia="仿宋" w:cs="仿宋"/>
                <w:sz w:val="27"/>
                <w:szCs w:val="27"/>
              </w:rPr>
              <w:t>ETF</w:t>
            </w:r>
            <w:r>
              <w:rPr>
                <w:rFonts w:ascii="仿宋" w:hAnsi="仿宋" w:eastAsia="仿宋" w:cs="仿宋"/>
                <w:spacing w:val="1"/>
                <w:sz w:val="27"/>
                <w:szCs w:val="27"/>
              </w:rPr>
              <w:t>)</w:t>
            </w:r>
          </w:p>
        </w:tc>
        <w:tc>
          <w:tcPr>
            <w:tcW w:w="2773" w:type="dxa"/>
            <w:vAlign w:val="top"/>
          </w:tcPr>
          <w:p>
            <w:pPr>
              <w:spacing w:before="49" w:line="217" w:lineRule="auto"/>
              <w:ind w:left="95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盘价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27" w:type="dxa"/>
            <w:vAlign w:val="top"/>
          </w:tcPr>
          <w:p>
            <w:pPr>
              <w:spacing w:before="48" w:line="219" w:lineRule="auto"/>
              <w:ind w:left="11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4.1.4 境内上市交易型货币市场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基</w:t>
            </w:r>
          </w:p>
        </w:tc>
        <w:tc>
          <w:tcPr>
            <w:tcW w:w="2773" w:type="dxa"/>
            <w:vAlign w:val="top"/>
          </w:tcPr>
          <w:p>
            <w:pPr>
              <w:spacing w:before="49" w:line="219" w:lineRule="auto"/>
              <w:ind w:left="108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净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值</w:t>
            </w:r>
          </w:p>
        </w:tc>
      </w:tr>
    </w:tbl>
    <w:p>
      <w:pPr>
        <w:jc w:val="both"/>
        <w:rPr>
          <w:rFonts w:ascii="Arial"/>
          <w:sz w:val="21"/>
        </w:rPr>
      </w:pPr>
    </w:p>
    <w:p>
      <w:pPr>
        <w:jc w:val="both"/>
        <w:sectPr>
          <w:footerReference r:id="rId7" w:type="default"/>
          <w:pgSz w:w="12240" w:h="15840"/>
          <w:pgMar w:top="1346" w:right="1644" w:bottom="1139" w:left="1800" w:header="0" w:footer="975" w:gutter="0"/>
          <w:cols w:space="720" w:num="1"/>
        </w:sectPr>
      </w:pPr>
    </w:p>
    <w:p>
      <w:pPr>
        <w:spacing w:line="93" w:lineRule="exact"/>
        <w:jc w:val="both"/>
      </w:pPr>
    </w:p>
    <w:tbl>
      <w:tblPr>
        <w:tblStyle w:val="8"/>
        <w:tblW w:w="9493" w:type="dxa"/>
        <w:tblInd w:w="-43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3"/>
        <w:gridCol w:w="4813"/>
        <w:gridCol w:w="27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2" w:hRule="atLeast"/>
        </w:trPr>
        <w:tc>
          <w:tcPr>
            <w:tcW w:w="1893" w:type="dxa"/>
            <w:shd w:val="clear" w:color="auto" w:fill="D9D9D9"/>
            <w:vAlign w:val="top"/>
          </w:tcPr>
          <w:p>
            <w:pPr>
              <w:spacing w:before="68" w:line="188" w:lineRule="auto"/>
              <w:ind w:left="477" w:right="157" w:hanging="320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spacing w:val="7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融工具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类</w:t>
            </w:r>
            <w:r>
              <w:rPr>
                <w:rFonts w:ascii="微软雅黑" w:hAnsi="微软雅黑" w:eastAsia="微软雅黑" w:cs="微软雅黑"/>
                <w:spacing w:val="4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型</w:t>
            </w:r>
          </w:p>
        </w:tc>
        <w:tc>
          <w:tcPr>
            <w:tcW w:w="4813" w:type="dxa"/>
            <w:shd w:val="clear" w:color="auto" w:fill="D9D9D9"/>
            <w:vAlign w:val="top"/>
          </w:tcPr>
          <w:p>
            <w:pPr>
              <w:spacing w:before="287" w:line="195" w:lineRule="auto"/>
              <w:ind w:left="1279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10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金</w:t>
            </w: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融工具品种</w:t>
            </w:r>
          </w:p>
        </w:tc>
        <w:tc>
          <w:tcPr>
            <w:tcW w:w="2787" w:type="dxa"/>
            <w:shd w:val="clear" w:color="auto" w:fill="D9D9D9"/>
            <w:vAlign w:val="top"/>
          </w:tcPr>
          <w:p>
            <w:pPr>
              <w:spacing w:before="59" w:line="190" w:lineRule="auto"/>
              <w:ind w:left="863" w:right="140" w:hanging="692"/>
              <w:jc w:val="both"/>
              <w:rPr>
                <w:rFonts w:ascii="微软雅黑" w:hAnsi="微软雅黑" w:eastAsia="微软雅黑" w:cs="微软雅黑"/>
                <w:sz w:val="31"/>
                <w:szCs w:val="31"/>
              </w:rPr>
            </w:pP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常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见估值方法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  <w14:textOutline w14:w="5791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/</w:t>
            </w:r>
            <w:r>
              <w:rPr>
                <w:rFonts w:ascii="微软雅黑" w:hAnsi="微软雅黑" w:eastAsia="微软雅黑" w:cs="微软雅黑"/>
                <w:spacing w:val="5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估</w:t>
            </w:r>
            <w:r>
              <w:rPr>
                <w:rFonts w:ascii="微软雅黑" w:hAnsi="微软雅黑" w:eastAsia="微软雅黑" w:cs="微软雅黑"/>
                <w:sz w:val="31"/>
                <w:szCs w:val="31"/>
              </w:rPr>
              <w:t xml:space="preserve"> </w:t>
            </w:r>
            <w:r>
              <w:rPr>
                <w:rFonts w:ascii="微软雅黑" w:hAnsi="微软雅黑" w:eastAsia="微软雅黑" w:cs="微软雅黑"/>
                <w:spacing w:val="10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值</w:t>
            </w:r>
            <w:r>
              <w:rPr>
                <w:rFonts w:ascii="微软雅黑" w:hAnsi="微软雅黑" w:eastAsia="微软雅黑" w:cs="微软雅黑"/>
                <w:spacing w:val="8"/>
                <w:sz w:val="31"/>
                <w:szCs w:val="31"/>
                <w14:textOutline w14:w="3175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893" w:type="dxa"/>
            <w:vMerge w:val="restart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3" w:type="dxa"/>
            <w:vAlign w:val="top"/>
          </w:tcPr>
          <w:p>
            <w:pPr>
              <w:spacing w:before="47" w:line="220" w:lineRule="auto"/>
              <w:ind w:left="10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z w:val="28"/>
                <w:szCs w:val="28"/>
              </w:rPr>
              <w:t>金</w:t>
            </w:r>
          </w:p>
        </w:tc>
        <w:tc>
          <w:tcPr>
            <w:tcW w:w="2787" w:type="dxa"/>
            <w:vAlign w:val="top"/>
          </w:tcPr>
          <w:p>
            <w:pPr>
              <w:spacing w:before="46" w:line="219" w:lineRule="auto"/>
              <w:ind w:left="80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万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份收益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6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3" w:type="dxa"/>
            <w:vAlign w:val="top"/>
          </w:tcPr>
          <w:p>
            <w:pPr>
              <w:spacing w:before="45" w:line="218" w:lineRule="auto"/>
              <w:ind w:left="11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0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.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1.5 境内非上市非货币基金</w:t>
            </w:r>
          </w:p>
        </w:tc>
        <w:tc>
          <w:tcPr>
            <w:tcW w:w="2787" w:type="dxa"/>
            <w:vAlign w:val="top"/>
          </w:tcPr>
          <w:p>
            <w:pPr>
              <w:spacing w:before="45" w:line="218" w:lineRule="auto"/>
              <w:ind w:left="108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净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3" w:type="dxa"/>
            <w:vAlign w:val="top"/>
          </w:tcPr>
          <w:p>
            <w:pPr>
              <w:spacing w:before="48" w:line="218" w:lineRule="auto"/>
              <w:ind w:left="11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4.1.6 境内非上市货币基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金</w:t>
            </w:r>
          </w:p>
        </w:tc>
        <w:tc>
          <w:tcPr>
            <w:tcW w:w="2787" w:type="dxa"/>
            <w:vAlign w:val="top"/>
          </w:tcPr>
          <w:p>
            <w:pPr>
              <w:spacing w:before="48" w:line="218" w:lineRule="auto"/>
              <w:ind w:left="80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万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份收益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3" w:type="dxa"/>
            <w:vAlign w:val="top"/>
          </w:tcPr>
          <w:p>
            <w:pPr>
              <w:spacing w:before="46" w:line="229" w:lineRule="auto"/>
              <w:ind w:left="111" w:right="98" w:firstLine="5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4.1.7 境内封闭式基金、出于封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闭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期内的定期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开放式基金</w:t>
            </w:r>
          </w:p>
        </w:tc>
        <w:tc>
          <w:tcPr>
            <w:tcW w:w="2787" w:type="dxa"/>
            <w:vAlign w:val="top"/>
          </w:tcPr>
          <w:p>
            <w:pPr>
              <w:spacing w:before="45" w:line="219" w:lineRule="auto"/>
              <w:ind w:left="108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市</w:t>
            </w: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价</w:t>
            </w:r>
          </w:p>
          <w:p>
            <w:pPr>
              <w:spacing w:before="33" w:line="216" w:lineRule="auto"/>
              <w:ind w:left="23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净值，流动性折扣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7600" w:type="dxa"/>
            <w:gridSpan w:val="2"/>
            <w:vAlign w:val="top"/>
          </w:tcPr>
          <w:p>
            <w:pPr>
              <w:spacing w:before="46" w:line="218" w:lineRule="auto"/>
              <w:ind w:left="11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4</w:t>
            </w: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.2 其他资产管理产品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3" w:type="dxa"/>
            <w:vAlign w:val="top"/>
          </w:tcPr>
          <w:p>
            <w:pPr>
              <w:spacing w:before="47" w:line="228" w:lineRule="auto"/>
              <w:ind w:left="107" w:right="98" w:firstLine="9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4.2.1 证券交易所上市的资产管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理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3"/>
                <w:sz w:val="28"/>
                <w:szCs w:val="28"/>
              </w:rPr>
              <w:t>产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品</w:t>
            </w:r>
          </w:p>
        </w:tc>
        <w:tc>
          <w:tcPr>
            <w:tcW w:w="2787" w:type="dxa"/>
            <w:vAlign w:val="top"/>
          </w:tcPr>
          <w:p>
            <w:pPr>
              <w:spacing w:before="46" w:line="239" w:lineRule="auto"/>
              <w:ind w:left="95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盘价</w:t>
            </w:r>
          </w:p>
          <w:p>
            <w:pPr>
              <w:spacing w:before="1" w:line="217" w:lineRule="auto"/>
              <w:ind w:left="108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净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5" w:hRule="atLeast"/>
        </w:trPr>
        <w:tc>
          <w:tcPr>
            <w:tcW w:w="1893" w:type="dxa"/>
            <w:vMerge w:val="continue"/>
            <w:vAlign w:val="top"/>
          </w:tcPr>
          <w:p>
            <w:pPr>
              <w:jc w:val="both"/>
              <w:rPr>
                <w:rFonts w:ascii="Arial"/>
                <w:sz w:val="21"/>
              </w:rPr>
            </w:pPr>
          </w:p>
        </w:tc>
        <w:tc>
          <w:tcPr>
            <w:tcW w:w="4813" w:type="dxa"/>
            <w:vAlign w:val="top"/>
          </w:tcPr>
          <w:p>
            <w:pPr>
              <w:spacing w:before="229" w:line="255" w:lineRule="auto"/>
              <w:ind w:left="110" w:right="98" w:firstLine="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3"/>
                <w:sz w:val="28"/>
                <w:szCs w:val="28"/>
              </w:rPr>
              <w:t>4.2.2 非证券交易所上市的资产</w:t>
            </w:r>
            <w:r>
              <w:rPr>
                <w:rFonts w:ascii="仿宋" w:hAnsi="仿宋" w:eastAsia="仿宋" w:cs="仿宋"/>
                <w:spacing w:val="2"/>
                <w:sz w:val="28"/>
                <w:szCs w:val="28"/>
              </w:rPr>
              <w:t>管</w:t>
            </w:r>
            <w:r>
              <w:rPr>
                <w:rFonts w:ascii="仿宋" w:hAnsi="仿宋" w:eastAsia="仿宋" w:cs="仿宋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理</w:t>
            </w: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产品</w:t>
            </w:r>
          </w:p>
        </w:tc>
        <w:tc>
          <w:tcPr>
            <w:tcW w:w="2787" w:type="dxa"/>
            <w:vAlign w:val="top"/>
          </w:tcPr>
          <w:p>
            <w:pPr>
              <w:spacing w:before="49" w:line="219" w:lineRule="auto"/>
              <w:ind w:left="1080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5"/>
                <w:sz w:val="28"/>
                <w:szCs w:val="28"/>
              </w:rPr>
              <w:t>净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值</w:t>
            </w:r>
          </w:p>
          <w:p>
            <w:pPr>
              <w:spacing w:before="30" w:line="216" w:lineRule="auto"/>
              <w:ind w:left="66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三方估值</w:t>
            </w:r>
          </w:p>
          <w:p>
            <w:pPr>
              <w:spacing w:before="34" w:line="216" w:lineRule="auto"/>
              <w:ind w:left="51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其他估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值技术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3" w:hRule="atLeast"/>
        </w:trPr>
        <w:tc>
          <w:tcPr>
            <w:tcW w:w="1893" w:type="dxa"/>
            <w:vAlign w:val="top"/>
          </w:tcPr>
          <w:p>
            <w:pPr>
              <w:spacing w:before="250" w:line="252" w:lineRule="auto"/>
              <w:ind w:left="654" w:right="232" w:hanging="40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4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5.金融负</w:t>
            </w:r>
            <w:r>
              <w:rPr>
                <w:rFonts w:ascii="仿宋" w:hAnsi="仿宋" w:eastAsia="仿宋" w:cs="仿宋"/>
                <w:sz w:val="28"/>
                <w:szCs w:val="28"/>
                <w14:textOutline w14:w="5094" w14:cap="flat" w14:cmpd="sng">
                  <w14:solidFill>
                    <w14:srgbClr w14:val="000000"/>
                  </w14:solidFill>
                  <w14:prstDash w14:val="solid"/>
                  <w14:miter w14:val="0"/>
                </w14:textOutline>
              </w:rPr>
              <w:t>债</w:t>
            </w:r>
          </w:p>
        </w:tc>
        <w:tc>
          <w:tcPr>
            <w:tcW w:w="4813" w:type="dxa"/>
            <w:vAlign w:val="top"/>
          </w:tcPr>
          <w:p>
            <w:pPr>
              <w:spacing w:line="339" w:lineRule="auto"/>
              <w:jc w:val="both"/>
              <w:rPr>
                <w:rFonts w:ascii="Arial"/>
                <w:sz w:val="21"/>
              </w:rPr>
            </w:pPr>
          </w:p>
          <w:p>
            <w:pPr>
              <w:spacing w:before="91" w:line="217" w:lineRule="auto"/>
              <w:ind w:left="121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13"/>
                <w:sz w:val="28"/>
                <w:szCs w:val="28"/>
              </w:rPr>
              <w:t>5</w:t>
            </w:r>
            <w:r>
              <w:rPr>
                <w:rFonts w:ascii="仿宋" w:hAnsi="仿宋" w:eastAsia="仿宋" w:cs="仿宋"/>
                <w:spacing w:val="-11"/>
                <w:sz w:val="28"/>
                <w:szCs w:val="28"/>
              </w:rPr>
              <w:t>.1 金融负债</w:t>
            </w:r>
          </w:p>
        </w:tc>
        <w:tc>
          <w:tcPr>
            <w:tcW w:w="2787" w:type="dxa"/>
            <w:vAlign w:val="top"/>
          </w:tcPr>
          <w:p>
            <w:pPr>
              <w:spacing w:before="47" w:line="219" w:lineRule="auto"/>
              <w:ind w:left="954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8"/>
                <w:sz w:val="28"/>
                <w:szCs w:val="28"/>
              </w:rPr>
              <w:t>收</w:t>
            </w:r>
            <w:r>
              <w:rPr>
                <w:rFonts w:ascii="仿宋" w:hAnsi="仿宋" w:eastAsia="仿宋" w:cs="仿宋"/>
                <w:spacing w:val="-6"/>
                <w:sz w:val="28"/>
                <w:szCs w:val="28"/>
              </w:rPr>
              <w:t>盘价</w:t>
            </w:r>
          </w:p>
          <w:p>
            <w:pPr>
              <w:spacing w:before="53" w:line="216" w:lineRule="auto"/>
              <w:ind w:left="666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7"/>
                <w:sz w:val="28"/>
                <w:szCs w:val="28"/>
              </w:rPr>
              <w:t>第</w:t>
            </w:r>
            <w:r>
              <w:rPr>
                <w:rFonts w:ascii="仿宋" w:hAnsi="仿宋" w:eastAsia="仿宋" w:cs="仿宋"/>
                <w:spacing w:val="-4"/>
                <w:sz w:val="28"/>
                <w:szCs w:val="28"/>
              </w:rPr>
              <w:t>三方估值</w:t>
            </w:r>
          </w:p>
          <w:p>
            <w:pPr>
              <w:spacing w:before="53" w:line="216" w:lineRule="auto"/>
              <w:ind w:left="512"/>
              <w:jc w:val="both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ascii="仿宋" w:hAnsi="仿宋" w:eastAsia="仿宋" w:cs="仿宋"/>
                <w:spacing w:val="-2"/>
                <w:sz w:val="28"/>
                <w:szCs w:val="28"/>
              </w:rPr>
              <w:t>其他估</w:t>
            </w:r>
            <w:r>
              <w:rPr>
                <w:rFonts w:ascii="仿宋" w:hAnsi="仿宋" w:eastAsia="仿宋" w:cs="仿宋"/>
                <w:spacing w:val="-1"/>
                <w:sz w:val="28"/>
                <w:szCs w:val="28"/>
              </w:rPr>
              <w:t>值技术</w:t>
            </w:r>
          </w:p>
        </w:tc>
      </w:tr>
    </w:tbl>
    <w:p>
      <w:pPr>
        <w:jc w:val="both"/>
        <w:sectPr>
          <w:footerReference r:id="rId8" w:type="default"/>
          <w:pgSz w:w="12240" w:h="15840"/>
          <w:pgMar w:top="1346" w:right="1644" w:bottom="1139" w:left="1800" w:header="0" w:footer="975" w:gutter="0"/>
          <w:cols w:space="720" w:num="1"/>
        </w:sectPr>
      </w:pPr>
      <w:bookmarkStart w:id="0" w:name="_GoBack"/>
      <w:bookmarkEnd w:id="0"/>
    </w:p>
    <w:p>
      <w:pPr>
        <w:tabs>
          <w:tab w:val="left" w:pos="1226"/>
        </w:tabs>
        <w:bidi w:val="0"/>
        <w:jc w:val="left"/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B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234"/>
      <w:rPr>
        <w:rFonts w:ascii="Arial" w:hAnsi="Arial" w:eastAsia="Arial" w:cs="Arial"/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234"/>
      <w:rPr>
        <w:rFonts w:ascii="Arial" w:hAnsi="Arial" w:eastAsia="Arial" w:cs="Arial"/>
        <w:sz w:val="18"/>
        <w:szCs w:val="18"/>
      </w:rPr>
    </w:pPr>
    <w:r>
      <w:rPr>
        <w:rFonts w:ascii="Arial" w:hAnsi="Arial" w:eastAsia="Arial" w:cs="Arial"/>
        <w:spacing w:val="-6"/>
        <w:sz w:val="18"/>
        <w:szCs w:val="18"/>
      </w:rPr>
      <w:t>2</w:t>
    </w:r>
    <w:r>
      <w:rPr>
        <w:rFonts w:ascii="Arial" w:hAnsi="Arial" w:eastAsia="Arial" w:cs="Arial"/>
        <w:spacing w:val="-4"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234"/>
      <w:rPr>
        <w:rFonts w:ascii="Arial" w:hAnsi="Arial" w:eastAsia="Arial" w:cs="Arial"/>
        <w:sz w:val="18"/>
        <w:szCs w:val="18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9" w:lineRule="auto"/>
      <w:ind w:left="4232"/>
      <w:rPr>
        <w:rFonts w:ascii="Arial" w:hAnsi="Arial" w:eastAsia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iYTQxYjU3NjQ0ZTUzOWY0MDUwNDIzNGFiNDRlZjUifQ=="/>
  </w:docVars>
  <w:rsids>
    <w:rsidRoot w:val="731D1F26"/>
    <w:rsid w:val="00000EAE"/>
    <w:rsid w:val="195D07E6"/>
    <w:rsid w:val="56232A61"/>
    <w:rsid w:val="631B6A44"/>
    <w:rsid w:val="68261139"/>
    <w:rsid w:val="731D1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360" w:lineRule="auto"/>
      <w:jc w:val="center"/>
      <w:outlineLvl w:val="1"/>
    </w:pPr>
    <w:rPr>
      <w:rFonts w:ascii="Arial" w:hAnsi="Arial" w:eastAsia="黑体" w:cs="Calibri"/>
      <w:b/>
      <w:sz w:val="32"/>
      <w:szCs w:val="21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8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4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1017</Words>
  <Characters>1348</Characters>
  <Lines>0</Lines>
  <Paragraphs>0</Paragraphs>
  <TotalTime>5</TotalTime>
  <ScaleCrop>false</ScaleCrop>
  <LinksUpToDate>false</LinksUpToDate>
  <CharactersWithSpaces>1437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2023-05-10T07:21:00Z</dcterms:created>
  <dc:creator>念念不忘的饭团</dc:creator>
  <cp:lastModifiedBy>念念不忘的饭团</cp:lastModifiedBy>
  <dcterms:modified xsi:type="dcterms:W3CDTF">2023-05-10T07:27:04Z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2E861A15AEA7482CB13013DD47537DFD_11</vt:lpwstr>
  </property>
</Properties>
</file>